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54F27" w14:textId="77777777" w:rsidR="00FA4D11" w:rsidRPr="004E25F1" w:rsidRDefault="00FA4D11" w:rsidP="00FA4D11">
      <w:pPr>
        <w:spacing w:after="0" w:line="240" w:lineRule="auto"/>
        <w:rPr>
          <w:rFonts w:cstheme="minorHAnsi"/>
          <w:bCs/>
        </w:rPr>
      </w:pPr>
      <w:r w:rsidRPr="009706A9">
        <w:rPr>
          <w:rFonts w:cstheme="minorHAnsi"/>
          <w:b/>
          <w:bCs/>
        </w:rPr>
        <w:t>TEMA:</w:t>
      </w:r>
      <w:r w:rsidRPr="009706A9">
        <w:rPr>
          <w:rFonts w:cstheme="minorHAnsi"/>
        </w:rPr>
        <w:t xml:space="preserve"> </w:t>
      </w:r>
      <w:r w:rsidRPr="00F1142F">
        <w:rPr>
          <w:b/>
        </w:rPr>
        <w:t>Cultura, poder y sociedad en Mesoamérica</w:t>
      </w:r>
    </w:p>
    <w:p w14:paraId="6FBA5485" w14:textId="77777777" w:rsidR="00FA4D11" w:rsidRDefault="00FA4D11" w:rsidP="00FA4D11">
      <w:pPr>
        <w:spacing w:after="0" w:line="240" w:lineRule="auto"/>
      </w:pPr>
      <w:r w:rsidRPr="009706A9">
        <w:rPr>
          <w:rFonts w:cstheme="minorHAnsi"/>
          <w:b/>
          <w:bCs/>
        </w:rPr>
        <w:t>SUBTEMA</w:t>
      </w:r>
      <w:r w:rsidRPr="009706A9">
        <w:rPr>
          <w:rFonts w:cstheme="minorHAnsi"/>
        </w:rPr>
        <w:t xml:space="preserve">: </w:t>
      </w:r>
      <w:r w:rsidRPr="00F1142F">
        <w:t>Estructura política de los centros de poder en Mesoamérica Comercio, circulación e intercambio de bienes en Mesoamérica</w:t>
      </w:r>
      <w:r>
        <w:t>.</w:t>
      </w:r>
    </w:p>
    <w:p w14:paraId="5A496BD9" w14:textId="77777777" w:rsidR="00FA4D11" w:rsidRDefault="00FA4D11" w:rsidP="00FA4D11">
      <w:pPr>
        <w:autoSpaceDE w:val="0"/>
        <w:autoSpaceDN w:val="0"/>
        <w:adjustRightInd w:val="0"/>
        <w:spacing w:after="0" w:line="240" w:lineRule="auto"/>
      </w:pPr>
      <w:r>
        <w:t>Después de leer el contenido del libro de texto de las páginas 176-180 completa los conceptos:</w:t>
      </w:r>
    </w:p>
    <w:tbl>
      <w:tblPr>
        <w:tblStyle w:val="Tablaconcuadrcula"/>
        <w:tblW w:w="9543" w:type="dxa"/>
        <w:tblLook w:val="04A0" w:firstRow="1" w:lastRow="0" w:firstColumn="1" w:lastColumn="0" w:noHBand="0" w:noVBand="1"/>
      </w:tblPr>
      <w:tblGrid>
        <w:gridCol w:w="2251"/>
        <w:gridCol w:w="7292"/>
      </w:tblGrid>
      <w:tr w:rsidR="00FA4D11" w14:paraId="51B851EF" w14:textId="77777777" w:rsidTr="006F51E7">
        <w:trPr>
          <w:trHeight w:val="603"/>
        </w:trPr>
        <w:tc>
          <w:tcPr>
            <w:tcW w:w="2251" w:type="dxa"/>
          </w:tcPr>
          <w:p w14:paraId="4DBB55A6" w14:textId="77777777" w:rsidR="00FA4D11" w:rsidRDefault="00FA4D11" w:rsidP="006F51E7">
            <w:pPr>
              <w:autoSpaceDE w:val="0"/>
              <w:autoSpaceDN w:val="0"/>
              <w:adjustRightInd w:val="0"/>
            </w:pPr>
          </w:p>
        </w:tc>
        <w:tc>
          <w:tcPr>
            <w:tcW w:w="7292" w:type="dxa"/>
            <w:shd w:val="clear" w:color="auto" w:fill="FFF2CC" w:themeFill="accent4" w:themeFillTint="33"/>
          </w:tcPr>
          <w:p w14:paraId="26D197C6" w14:textId="77777777" w:rsidR="00FA4D11" w:rsidRDefault="00FA4D11" w:rsidP="006F51E7">
            <w:pPr>
              <w:autoSpaceDE w:val="0"/>
              <w:autoSpaceDN w:val="0"/>
              <w:adjustRightInd w:val="0"/>
            </w:pPr>
            <w:r>
              <w:t>Entre los años 2500 a.C. al 1521 fueron los periodos culturales de Mesoamérica, distinguidos por su estructura social, política, cultural y económica:</w:t>
            </w:r>
          </w:p>
        </w:tc>
      </w:tr>
      <w:tr w:rsidR="00FA4D11" w14:paraId="6BB9FF4C" w14:textId="77777777" w:rsidTr="006F51E7">
        <w:trPr>
          <w:trHeight w:val="1052"/>
        </w:trPr>
        <w:tc>
          <w:tcPr>
            <w:tcW w:w="2251" w:type="dxa"/>
          </w:tcPr>
          <w:p w14:paraId="272C10D9" w14:textId="77777777" w:rsidR="00FA4D11" w:rsidRDefault="00FA4D11" w:rsidP="006F51E7">
            <w:pPr>
              <w:autoSpaceDE w:val="0"/>
              <w:autoSpaceDN w:val="0"/>
              <w:adjustRightInd w:val="0"/>
            </w:pPr>
          </w:p>
        </w:tc>
        <w:tc>
          <w:tcPr>
            <w:tcW w:w="7292" w:type="dxa"/>
            <w:shd w:val="clear" w:color="auto" w:fill="FFF2CC" w:themeFill="accent4" w:themeFillTint="33"/>
          </w:tcPr>
          <w:p w14:paraId="608F1232" w14:textId="18388D59" w:rsidR="00FA4D11" w:rsidRDefault="00FA4D11" w:rsidP="006F51E7">
            <w:pPr>
              <w:autoSpaceDE w:val="0"/>
              <w:autoSpaceDN w:val="0"/>
              <w:adjustRightInd w:val="0"/>
            </w:pPr>
            <w:r>
              <w:t xml:space="preserve">Periodo de los horizontes culturales de Mesoamérica, que comprende del año 2500 a.C. hasta el año </w:t>
            </w:r>
            <w:r w:rsidR="00996F2D">
              <w:t>200</w:t>
            </w:r>
            <w:r>
              <w:t>, donde se gestó una estructura política llamada cacicazgo o jefatura, especialmente en la cultura olmeca desarrollada en lo que hoy es Veracruz y Tabasco:</w:t>
            </w:r>
          </w:p>
        </w:tc>
      </w:tr>
      <w:tr w:rsidR="00FA4D11" w14:paraId="05C3CCC7" w14:textId="77777777" w:rsidTr="006F51E7">
        <w:trPr>
          <w:trHeight w:val="2090"/>
        </w:trPr>
        <w:tc>
          <w:tcPr>
            <w:tcW w:w="2251" w:type="dxa"/>
          </w:tcPr>
          <w:p w14:paraId="5983FF78" w14:textId="77777777" w:rsidR="00FA4D11" w:rsidRDefault="00FA4D11" w:rsidP="006F51E7">
            <w:pPr>
              <w:autoSpaceDE w:val="0"/>
              <w:autoSpaceDN w:val="0"/>
              <w:adjustRightInd w:val="0"/>
            </w:pPr>
          </w:p>
        </w:tc>
        <w:tc>
          <w:tcPr>
            <w:tcW w:w="7292" w:type="dxa"/>
            <w:shd w:val="clear" w:color="auto" w:fill="FFF2CC" w:themeFill="accent4" w:themeFillTint="33"/>
          </w:tcPr>
          <w:p w14:paraId="37EC77FC" w14:textId="10D1F09D" w:rsidR="00FA4D11" w:rsidRDefault="00FA4D11" w:rsidP="006F51E7">
            <w:pPr>
              <w:autoSpaceDE w:val="0"/>
              <w:autoSpaceDN w:val="0"/>
              <w:adjustRightInd w:val="0"/>
            </w:pPr>
            <w:r>
              <w:t xml:space="preserve">Periodo comprendido del año </w:t>
            </w:r>
            <w:r w:rsidR="00996F2D">
              <w:t>200</w:t>
            </w:r>
            <w:r>
              <w:t xml:space="preserve"> al 900, surge el Estado como estructura social con mecanismos para establecer el poder. Destacan la cultura de Teotihuacán en el estado de México, la ciudad de Monte Alban de los zapotecas en Oaxaca, la región maya y sus ciudades de Palenque (Chiapas), Calakmul (Campeche), Uxmal (Yucatán), Dzibanché (Quintana Roo) o Comalcalco (Tabasco), había estructuras sociales, división de trabajo y gobernantes que heredaban la autoridad política en Teotihuacán su gobierno era teocrático. (gobernaban los sacerdotes) </w:t>
            </w:r>
          </w:p>
        </w:tc>
      </w:tr>
      <w:tr w:rsidR="00FA4D11" w14:paraId="72723E1A" w14:textId="77777777" w:rsidTr="006F51E7">
        <w:trPr>
          <w:trHeight w:val="1300"/>
        </w:trPr>
        <w:tc>
          <w:tcPr>
            <w:tcW w:w="2251" w:type="dxa"/>
          </w:tcPr>
          <w:p w14:paraId="439393AF" w14:textId="77777777" w:rsidR="00FA4D11" w:rsidRDefault="00FA4D11" w:rsidP="006F51E7">
            <w:pPr>
              <w:autoSpaceDE w:val="0"/>
              <w:autoSpaceDN w:val="0"/>
              <w:adjustRightInd w:val="0"/>
            </w:pPr>
          </w:p>
        </w:tc>
        <w:tc>
          <w:tcPr>
            <w:tcW w:w="7292" w:type="dxa"/>
            <w:shd w:val="clear" w:color="auto" w:fill="FFF2CC" w:themeFill="accent4" w:themeFillTint="33"/>
          </w:tcPr>
          <w:p w14:paraId="0F956C8E" w14:textId="77777777" w:rsidR="00FA4D11" w:rsidRDefault="00FA4D11" w:rsidP="006F51E7">
            <w:pPr>
              <w:autoSpaceDE w:val="0"/>
              <w:autoSpaceDN w:val="0"/>
              <w:adjustRightInd w:val="0"/>
            </w:pPr>
            <w:r>
              <w:t>Este periodo comprende del año 900 al 1521 los Estados se militarizaron y surgieron los imperios como el de Tula de los toltecas, los reinos mayas en la Península de Yucatán y el imperio mexica o azteca en el centro del país, contaban con un ejército de tiempo completo, en la cultura mexica el principal gobernante era el tlatoani:</w:t>
            </w:r>
          </w:p>
        </w:tc>
      </w:tr>
      <w:tr w:rsidR="00FA4D11" w14:paraId="25A241FA" w14:textId="77777777" w:rsidTr="006F51E7">
        <w:trPr>
          <w:trHeight w:val="775"/>
        </w:trPr>
        <w:tc>
          <w:tcPr>
            <w:tcW w:w="2251" w:type="dxa"/>
          </w:tcPr>
          <w:p w14:paraId="23C56654" w14:textId="77777777" w:rsidR="00FA4D11" w:rsidRDefault="00FA4D11" w:rsidP="006F51E7">
            <w:pPr>
              <w:autoSpaceDE w:val="0"/>
              <w:autoSpaceDN w:val="0"/>
              <w:adjustRightInd w:val="0"/>
            </w:pPr>
          </w:p>
        </w:tc>
        <w:tc>
          <w:tcPr>
            <w:tcW w:w="7292" w:type="dxa"/>
            <w:shd w:val="clear" w:color="auto" w:fill="FFF2CC" w:themeFill="accent4" w:themeFillTint="33"/>
          </w:tcPr>
          <w:p w14:paraId="66F37A28" w14:textId="77777777" w:rsidR="00FA4D11" w:rsidRDefault="00FA4D11" w:rsidP="006F51E7">
            <w:pPr>
              <w:autoSpaceDE w:val="0"/>
              <w:autoSpaceDN w:val="0"/>
              <w:adjustRightInd w:val="0"/>
            </w:pPr>
            <w:r w:rsidRPr="00ED53FC">
              <w:t> </w:t>
            </w:r>
            <w:r>
              <w:t>E</w:t>
            </w:r>
            <w:r w:rsidRPr="00ED53FC">
              <w:t>ra el término que se usaba para referirse a la nobleza del Imperio mexica. Eran la clase social dirigente y estaban por encima de los plebeyos</w:t>
            </w:r>
            <w:r>
              <w:t>:</w:t>
            </w:r>
          </w:p>
        </w:tc>
      </w:tr>
      <w:tr w:rsidR="00FA4D11" w14:paraId="32A5F754" w14:textId="77777777" w:rsidTr="006F51E7">
        <w:trPr>
          <w:trHeight w:val="775"/>
        </w:trPr>
        <w:tc>
          <w:tcPr>
            <w:tcW w:w="2251" w:type="dxa"/>
          </w:tcPr>
          <w:p w14:paraId="5CC9C772" w14:textId="77777777" w:rsidR="00FA4D11" w:rsidRDefault="00FA4D11" w:rsidP="006F51E7">
            <w:pPr>
              <w:autoSpaceDE w:val="0"/>
              <w:autoSpaceDN w:val="0"/>
              <w:adjustRightInd w:val="0"/>
            </w:pPr>
          </w:p>
        </w:tc>
        <w:tc>
          <w:tcPr>
            <w:tcW w:w="7292" w:type="dxa"/>
            <w:shd w:val="clear" w:color="auto" w:fill="FFF2CC" w:themeFill="accent4" w:themeFillTint="33"/>
          </w:tcPr>
          <w:p w14:paraId="43F54006" w14:textId="77777777" w:rsidR="00FA4D11" w:rsidRDefault="00FA4D11" w:rsidP="006F51E7">
            <w:pPr>
              <w:autoSpaceDE w:val="0"/>
              <w:autoSpaceDN w:val="0"/>
              <w:adjustRightInd w:val="0"/>
            </w:pPr>
            <w:r>
              <w:t>E</w:t>
            </w:r>
            <w:r w:rsidRPr="00ED53FC">
              <w:t>ra el término que se usaba para referirse a la clase social más común en la sociedad azteca. Se les consideraba plebeyos y eran en su mayoría agricultores rurales</w:t>
            </w:r>
            <w:r>
              <w:t>:</w:t>
            </w:r>
          </w:p>
        </w:tc>
      </w:tr>
      <w:tr w:rsidR="00FA4D11" w14:paraId="44F9CC2D" w14:textId="77777777" w:rsidTr="006F51E7">
        <w:trPr>
          <w:trHeight w:val="789"/>
        </w:trPr>
        <w:tc>
          <w:tcPr>
            <w:tcW w:w="2251" w:type="dxa"/>
          </w:tcPr>
          <w:p w14:paraId="240E207E" w14:textId="77777777" w:rsidR="00FA4D11" w:rsidRDefault="00FA4D11" w:rsidP="006F51E7">
            <w:pPr>
              <w:autoSpaceDE w:val="0"/>
              <w:autoSpaceDN w:val="0"/>
              <w:adjustRightInd w:val="0"/>
            </w:pPr>
          </w:p>
        </w:tc>
        <w:tc>
          <w:tcPr>
            <w:tcW w:w="7292" w:type="dxa"/>
            <w:shd w:val="clear" w:color="auto" w:fill="FFF2CC" w:themeFill="accent4" w:themeFillTint="33"/>
          </w:tcPr>
          <w:p w14:paraId="4D01467B" w14:textId="77777777" w:rsidR="00FA4D11" w:rsidRDefault="00FA4D11" w:rsidP="006F51E7">
            <w:pPr>
              <w:autoSpaceDE w:val="0"/>
              <w:autoSpaceDN w:val="0"/>
              <w:adjustRightInd w:val="0"/>
            </w:pPr>
            <w:r>
              <w:t>E</w:t>
            </w:r>
            <w:r w:rsidRPr="00ED53FC">
              <w:t>s una palabra náhuatl que significa "esclavo" o "persona esclavizada". En la sociedad azteca, eran personas que trabajaban para un amo sin recibir pago</w:t>
            </w:r>
            <w:r>
              <w:t>:</w:t>
            </w:r>
          </w:p>
        </w:tc>
      </w:tr>
      <w:tr w:rsidR="00FA4D11" w14:paraId="373F06D1" w14:textId="77777777" w:rsidTr="006F51E7">
        <w:trPr>
          <w:trHeight w:val="1037"/>
        </w:trPr>
        <w:tc>
          <w:tcPr>
            <w:tcW w:w="2251" w:type="dxa"/>
          </w:tcPr>
          <w:p w14:paraId="3E1ABEFA" w14:textId="77777777" w:rsidR="00FA4D11" w:rsidRDefault="00FA4D11" w:rsidP="006F51E7">
            <w:pPr>
              <w:autoSpaceDE w:val="0"/>
              <w:autoSpaceDN w:val="0"/>
              <w:adjustRightInd w:val="0"/>
            </w:pPr>
          </w:p>
        </w:tc>
        <w:tc>
          <w:tcPr>
            <w:tcW w:w="7292" w:type="dxa"/>
            <w:shd w:val="clear" w:color="auto" w:fill="FFF2CC" w:themeFill="accent4" w:themeFillTint="33"/>
          </w:tcPr>
          <w:p w14:paraId="231D547D" w14:textId="77777777" w:rsidR="00FA4D11" w:rsidRDefault="00FA4D11" w:rsidP="006F51E7">
            <w:pPr>
              <w:autoSpaceDE w:val="0"/>
              <w:autoSpaceDN w:val="0"/>
              <w:adjustRightInd w:val="0"/>
            </w:pPr>
            <w:r>
              <w:t>E</w:t>
            </w:r>
            <w:r w:rsidRPr="000F3FC2">
              <w:t>ran centros en los que se educaba a l</w:t>
            </w:r>
            <w:r>
              <w:t xml:space="preserve">os jóvenes </w:t>
            </w:r>
            <w:r w:rsidRPr="000F3FC2">
              <w:t>del pueblo</w:t>
            </w:r>
            <w:r>
              <w:t xml:space="preserve"> mexica</w:t>
            </w:r>
            <w:r w:rsidRPr="000F3FC2">
              <w:t>, a partir de los 15 años, para servir a su comunidad</w:t>
            </w:r>
            <w:r>
              <w:t>, se encontraba uno en cada calpulli. Además, aprendían religión, caza, moral y adiestramiento para la guerra:</w:t>
            </w:r>
          </w:p>
        </w:tc>
      </w:tr>
      <w:tr w:rsidR="00FA4D11" w14:paraId="5A8DA7F8" w14:textId="77777777" w:rsidTr="006F51E7">
        <w:trPr>
          <w:trHeight w:val="1037"/>
        </w:trPr>
        <w:tc>
          <w:tcPr>
            <w:tcW w:w="2251" w:type="dxa"/>
          </w:tcPr>
          <w:p w14:paraId="07F55DBD" w14:textId="77777777" w:rsidR="00FA4D11" w:rsidRDefault="00FA4D11" w:rsidP="006F51E7">
            <w:pPr>
              <w:autoSpaceDE w:val="0"/>
              <w:autoSpaceDN w:val="0"/>
              <w:adjustRightInd w:val="0"/>
            </w:pPr>
          </w:p>
        </w:tc>
        <w:tc>
          <w:tcPr>
            <w:tcW w:w="7292" w:type="dxa"/>
            <w:shd w:val="clear" w:color="auto" w:fill="FFF2CC" w:themeFill="accent4" w:themeFillTint="33"/>
          </w:tcPr>
          <w:p w14:paraId="6B19DF05" w14:textId="77777777" w:rsidR="00FA4D11" w:rsidRDefault="00FA4D11" w:rsidP="006F51E7">
            <w:pPr>
              <w:autoSpaceDE w:val="0"/>
              <w:autoSpaceDN w:val="0"/>
              <w:adjustRightInd w:val="0"/>
            </w:pPr>
            <w:r>
              <w:t>E</w:t>
            </w:r>
            <w:r w:rsidRPr="000F3FC2">
              <w:t xml:space="preserve">ra una escuela internada para los hijos de la nobleza </w:t>
            </w:r>
            <w:r>
              <w:t>mexica</w:t>
            </w:r>
            <w:r w:rsidRPr="000F3FC2">
              <w:t xml:space="preserve">. La palabra proviene del náhuatl </w:t>
            </w:r>
            <w:proofErr w:type="spellStart"/>
            <w:r w:rsidRPr="000F3FC2">
              <w:t>kalmekak</w:t>
            </w:r>
            <w:proofErr w:type="spellEnd"/>
            <w:r w:rsidRPr="000F3FC2">
              <w:t>, que significa "lugar de reclusos"</w:t>
            </w:r>
            <w:r>
              <w:t xml:space="preserve">, se encontraba en Tenochtitlán, aprendían historia, calendarios, astronomía, códices, religión, economía, ética, guerra, poesía, cantos y artes: </w:t>
            </w:r>
          </w:p>
        </w:tc>
      </w:tr>
      <w:tr w:rsidR="00FA4D11" w14:paraId="0A5CAD49" w14:textId="77777777" w:rsidTr="006F51E7">
        <w:trPr>
          <w:trHeight w:val="1037"/>
        </w:trPr>
        <w:tc>
          <w:tcPr>
            <w:tcW w:w="2251" w:type="dxa"/>
          </w:tcPr>
          <w:p w14:paraId="0771B754" w14:textId="77777777" w:rsidR="00FA4D11" w:rsidRDefault="00FA4D11" w:rsidP="006F51E7">
            <w:pPr>
              <w:autoSpaceDE w:val="0"/>
              <w:autoSpaceDN w:val="0"/>
              <w:adjustRightInd w:val="0"/>
            </w:pPr>
          </w:p>
        </w:tc>
        <w:tc>
          <w:tcPr>
            <w:tcW w:w="7292" w:type="dxa"/>
            <w:shd w:val="clear" w:color="auto" w:fill="FFF2CC" w:themeFill="accent4" w:themeFillTint="33"/>
          </w:tcPr>
          <w:p w14:paraId="3092CA03" w14:textId="77777777" w:rsidR="00FA4D11" w:rsidRDefault="00FA4D11" w:rsidP="006F51E7">
            <w:pPr>
              <w:autoSpaceDE w:val="0"/>
              <w:autoSpaceDN w:val="0"/>
              <w:adjustRightInd w:val="0"/>
            </w:pPr>
            <w:r>
              <w:t>E</w:t>
            </w:r>
            <w:r w:rsidRPr="005F366E">
              <w:t>ran unidades de vivienda comunal que se habían dividido en grupos basados ​​en parentesco u otros grupos de tenencia de tierras dentro de las ciudades-estado nahuas o altépetl</w:t>
            </w:r>
            <w:r>
              <w:t>, su significado era “casas grandes”:</w:t>
            </w:r>
          </w:p>
        </w:tc>
      </w:tr>
    </w:tbl>
    <w:p w14:paraId="207074FB" w14:textId="77777777" w:rsidR="00FA4D11" w:rsidRPr="005608A7" w:rsidRDefault="00FA4D11" w:rsidP="00FA4D11">
      <w:pPr>
        <w:autoSpaceDE w:val="0"/>
        <w:autoSpaceDN w:val="0"/>
        <w:adjustRightInd w:val="0"/>
        <w:spacing w:after="0" w:line="240" w:lineRule="auto"/>
      </w:pPr>
      <w:r w:rsidRPr="003C500E">
        <w:rPr>
          <w:b/>
          <w:bCs/>
          <w:i/>
          <w:iCs/>
          <w:noProof/>
        </w:rPr>
        <mc:AlternateContent>
          <mc:Choice Requires="wps">
            <w:drawing>
              <wp:anchor distT="0" distB="0" distL="114300" distR="114300" simplePos="0" relativeHeight="251659264" behindDoc="0" locked="0" layoutInCell="1" allowOverlap="1" wp14:anchorId="0041B1CB" wp14:editId="734E5EE2">
                <wp:simplePos x="0" y="0"/>
                <wp:positionH relativeFrom="margin">
                  <wp:align>left</wp:align>
                </wp:positionH>
                <wp:positionV relativeFrom="paragraph">
                  <wp:posOffset>171450</wp:posOffset>
                </wp:positionV>
                <wp:extent cx="6086475" cy="514350"/>
                <wp:effectExtent l="0" t="0" r="28575" b="19050"/>
                <wp:wrapNone/>
                <wp:docPr id="15841978" name="Rectángulo: esquinas redondeadas 1"/>
                <wp:cNvGraphicFramePr/>
                <a:graphic xmlns:a="http://schemas.openxmlformats.org/drawingml/2006/main">
                  <a:graphicData uri="http://schemas.microsoft.com/office/word/2010/wordprocessingShape">
                    <wps:wsp>
                      <wps:cNvSpPr/>
                      <wps:spPr>
                        <a:xfrm>
                          <a:off x="0" y="0"/>
                          <a:ext cx="6086475" cy="514350"/>
                        </a:xfrm>
                        <a:prstGeom prst="roundRect">
                          <a:avLst/>
                        </a:prstGeom>
                        <a:solidFill>
                          <a:schemeClr val="accent2">
                            <a:lumMod val="60000"/>
                            <a:lumOff val="40000"/>
                          </a:schemeClr>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4145C89" w14:textId="77777777" w:rsidR="00FA4D11" w:rsidRDefault="00FA4D11" w:rsidP="00FA4D11">
                            <w:pPr>
                              <w:jc w:val="center"/>
                            </w:pPr>
                            <w:r>
                              <w:t>CALPULLI-CALMÉCAC-TELPOCHCALLI-TLACOTÍN-MACEHUALTIN- PIPILTIN-PRECLÁSICO- CLÁSICO-POSCLÁSICO-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41B1CB" id="Rectángulo: esquinas redondeadas 1" o:spid="_x0000_s1026" style="position:absolute;margin-left:0;margin-top:13.5pt;width:479.25pt;height:40.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" fillcolor="#f4b083 [1941]" strokecolor="black [3213]" strokeweight="1pt">
                <v:stroke joinstyle="miter"/>
                <v:textbox>
                  <w:txbxContent>
                    <w:p w14:paraId="54145C89" w14:textId="77777777" w:rsidR="00FA4D11" w:rsidRDefault="00FA4D11" w:rsidP="00FA4D11">
                      <w:pPr>
                        <w:jc w:val="center"/>
                      </w:pPr>
                      <w:r>
                        <w:t>CALPULLI-CALMÉCAC-TELPOCHCALLI-TLACOTÍN-MACEHUALTIN- PIPILTIN-PRECLÁSICO- CLÁSICO-POSCLÁSICO-</w:t>
                      </w:r>
                    </w:p>
                  </w:txbxContent>
                </v:textbox>
                <w10:wrap anchorx="margin"/>
              </v:roundrect>
            </w:pict>
          </mc:Fallback>
        </mc:AlternateContent>
      </w:r>
      <w:r w:rsidRPr="003C500E">
        <w:rPr>
          <w:b/>
          <w:bCs/>
          <w:i/>
          <w:iCs/>
        </w:rPr>
        <w:t>Opciones</w:t>
      </w:r>
      <w:r>
        <w:t>:</w:t>
      </w:r>
    </w:p>
    <w:p w14:paraId="76663481" w14:textId="77777777" w:rsidR="00BD48FF" w:rsidRDefault="00BD48FF"/>
    <w:sectPr w:rsidR="00BD48FF">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854F1" w14:textId="77777777" w:rsidR="0082417E" w:rsidRDefault="0082417E" w:rsidP="00FA4D11">
      <w:pPr>
        <w:spacing w:after="0" w:line="240" w:lineRule="auto"/>
      </w:pPr>
      <w:r>
        <w:separator/>
      </w:r>
    </w:p>
  </w:endnote>
  <w:endnote w:type="continuationSeparator" w:id="0">
    <w:p w14:paraId="78C62D2A" w14:textId="77777777" w:rsidR="0082417E" w:rsidRDefault="0082417E" w:rsidP="00FA4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73361" w14:textId="77777777" w:rsidR="0082417E" w:rsidRDefault="0082417E" w:rsidP="00FA4D11">
      <w:pPr>
        <w:spacing w:after="0" w:line="240" w:lineRule="auto"/>
      </w:pPr>
      <w:r>
        <w:separator/>
      </w:r>
    </w:p>
  </w:footnote>
  <w:footnote w:type="continuationSeparator" w:id="0">
    <w:p w14:paraId="375DCFE4" w14:textId="77777777" w:rsidR="0082417E" w:rsidRDefault="0082417E" w:rsidP="00FA4D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54150" w14:textId="3F0FEDF2" w:rsidR="00FA4D11" w:rsidRDefault="00FA4D11">
    <w:pPr>
      <w:pStyle w:val="Encabezado"/>
    </w:pPr>
    <w:r w:rsidRPr="00FA4D11">
      <w:rPr>
        <w:shd w:val="clear" w:color="auto" w:fill="92D050"/>
      </w:rPr>
      <w:t>CAMPO FORMTIVO: ÉTICA, NTURALEZA Y SOCIEDADES</w:t>
    </w:r>
    <w:r>
      <w:t xml:space="preserve">.      </w:t>
    </w:r>
    <w:r w:rsidRPr="00FA4D11">
      <w:rPr>
        <w:shd w:val="clear" w:color="auto" w:fill="92D050"/>
      </w:rPr>
      <w:t>DISCIPLINA: HISTORIA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D11"/>
    <w:rsid w:val="00033A2F"/>
    <w:rsid w:val="00633E7A"/>
    <w:rsid w:val="006956E8"/>
    <w:rsid w:val="008064C6"/>
    <w:rsid w:val="0082417E"/>
    <w:rsid w:val="00996F2D"/>
    <w:rsid w:val="009A4CAA"/>
    <w:rsid w:val="00BD48FF"/>
    <w:rsid w:val="00FA4D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85A32"/>
  <w15:chartTrackingRefBased/>
  <w15:docId w15:val="{7EC231D1-2313-4792-A494-E3856B0A3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D11"/>
  </w:style>
  <w:style w:type="paragraph" w:styleId="Ttulo1">
    <w:name w:val="heading 1"/>
    <w:basedOn w:val="Normal"/>
    <w:next w:val="Normal"/>
    <w:link w:val="Ttulo1Car"/>
    <w:uiPriority w:val="9"/>
    <w:qFormat/>
    <w:rsid w:val="00FA4D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FA4D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FA4D1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FA4D1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FA4D1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FA4D1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A4D1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A4D1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A4D1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A4D11"/>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FA4D1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FA4D11"/>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FA4D11"/>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FA4D11"/>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FA4D1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A4D1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A4D1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A4D11"/>
    <w:rPr>
      <w:rFonts w:eastAsiaTheme="majorEastAsia" w:cstheme="majorBidi"/>
      <w:color w:val="272727" w:themeColor="text1" w:themeTint="D8"/>
    </w:rPr>
  </w:style>
  <w:style w:type="paragraph" w:styleId="Ttulo">
    <w:name w:val="Title"/>
    <w:basedOn w:val="Normal"/>
    <w:next w:val="Normal"/>
    <w:link w:val="TtuloCar"/>
    <w:uiPriority w:val="10"/>
    <w:qFormat/>
    <w:rsid w:val="00FA4D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A4D1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A4D1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A4D1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A4D11"/>
    <w:pPr>
      <w:spacing w:before="160"/>
      <w:jc w:val="center"/>
    </w:pPr>
    <w:rPr>
      <w:i/>
      <w:iCs/>
      <w:color w:val="404040" w:themeColor="text1" w:themeTint="BF"/>
    </w:rPr>
  </w:style>
  <w:style w:type="character" w:customStyle="1" w:styleId="CitaCar">
    <w:name w:val="Cita Car"/>
    <w:basedOn w:val="Fuentedeprrafopredeter"/>
    <w:link w:val="Cita"/>
    <w:uiPriority w:val="29"/>
    <w:rsid w:val="00FA4D11"/>
    <w:rPr>
      <w:i/>
      <w:iCs/>
      <w:color w:val="404040" w:themeColor="text1" w:themeTint="BF"/>
    </w:rPr>
  </w:style>
  <w:style w:type="paragraph" w:styleId="Prrafodelista">
    <w:name w:val="List Paragraph"/>
    <w:basedOn w:val="Normal"/>
    <w:uiPriority w:val="34"/>
    <w:qFormat/>
    <w:rsid w:val="00FA4D11"/>
    <w:pPr>
      <w:ind w:left="720"/>
      <w:contextualSpacing/>
    </w:pPr>
  </w:style>
  <w:style w:type="character" w:styleId="nfasisintenso">
    <w:name w:val="Intense Emphasis"/>
    <w:basedOn w:val="Fuentedeprrafopredeter"/>
    <w:uiPriority w:val="21"/>
    <w:qFormat/>
    <w:rsid w:val="00FA4D11"/>
    <w:rPr>
      <w:i/>
      <w:iCs/>
      <w:color w:val="2F5496" w:themeColor="accent1" w:themeShade="BF"/>
    </w:rPr>
  </w:style>
  <w:style w:type="paragraph" w:styleId="Citadestacada">
    <w:name w:val="Intense Quote"/>
    <w:basedOn w:val="Normal"/>
    <w:next w:val="Normal"/>
    <w:link w:val="CitadestacadaCar"/>
    <w:uiPriority w:val="30"/>
    <w:qFormat/>
    <w:rsid w:val="00FA4D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FA4D11"/>
    <w:rPr>
      <w:i/>
      <w:iCs/>
      <w:color w:val="2F5496" w:themeColor="accent1" w:themeShade="BF"/>
    </w:rPr>
  </w:style>
  <w:style w:type="character" w:styleId="Referenciaintensa">
    <w:name w:val="Intense Reference"/>
    <w:basedOn w:val="Fuentedeprrafopredeter"/>
    <w:uiPriority w:val="32"/>
    <w:qFormat/>
    <w:rsid w:val="00FA4D11"/>
    <w:rPr>
      <w:b/>
      <w:bCs/>
      <w:smallCaps/>
      <w:color w:val="2F5496" w:themeColor="accent1" w:themeShade="BF"/>
      <w:spacing w:val="5"/>
    </w:rPr>
  </w:style>
  <w:style w:type="table" w:styleId="Tablaconcuadrcula">
    <w:name w:val="Table Grid"/>
    <w:basedOn w:val="Tablanormal"/>
    <w:uiPriority w:val="39"/>
    <w:rsid w:val="00FA4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A4D1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A4D11"/>
  </w:style>
  <w:style w:type="paragraph" w:styleId="Piedepgina">
    <w:name w:val="footer"/>
    <w:basedOn w:val="Normal"/>
    <w:link w:val="PiedepginaCar"/>
    <w:uiPriority w:val="99"/>
    <w:unhideWhenUsed/>
    <w:rsid w:val="00FA4D1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A4D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427</Words>
  <Characters>2354</Characters>
  <Application>Microsoft Office Word</Application>
  <DocSecurity>0</DocSecurity>
  <Lines>19</Lines>
  <Paragraphs>5</Paragraphs>
  <ScaleCrop>false</ScaleCrop>
  <Company>HP</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Antonio Magallanes Morales</dc:creator>
  <cp:keywords/>
  <dc:description/>
  <cp:lastModifiedBy>Juan Antonio Magallanes Morales</cp:lastModifiedBy>
  <cp:revision>2</cp:revision>
  <dcterms:created xsi:type="dcterms:W3CDTF">2025-11-30T19:21:00Z</dcterms:created>
  <dcterms:modified xsi:type="dcterms:W3CDTF">2025-11-30T19:21:00Z</dcterms:modified>
</cp:coreProperties>
</file>